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Construcción de las necesidades:</w:t>
      </w:r>
    </w:p>
    <w:p w:rsidR="00000000" w:rsidDel="00000000" w:rsidP="00000000" w:rsidRDefault="00000000" w:rsidRPr="00000000" w14:paraId="0000000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1. SALUD PÚBLICA - PROYECTO DE INVERSIÓN 2324 - 2025  “ACCIONES PARA EL CUIDADO DE LA SALUD Y EL BIENESTAR DE LAS Y LOS SUMA PACEÑOS”. </w:t>
      </w:r>
    </w:p>
    <w:p w:rsidR="00000000" w:rsidDel="00000000" w:rsidP="00000000" w:rsidRDefault="00000000" w:rsidRPr="00000000" w14:paraId="0000000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 Vincular 400 personas a las acciones y estrategias para promover la salud sexual y reproductiva consciente en los diferentes ciclos de vida</w:t>
      </w:r>
    </w:p>
    <w:p w:rsidR="00000000" w:rsidDel="00000000" w:rsidP="00000000" w:rsidRDefault="00000000" w:rsidRPr="00000000" w14:paraId="0000000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3. En el marco de la actividad de cierre denominada “Tejiendo en familia: aprendemos, cuidamos y compartimos”, correspondiente al cierre del componente de salud sexual y reproductiva, se contempla la implementación de un componente logístico orientado a la provisión de almuerzo y refrigerio para las familias participantes.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través de este encuentro se busca generar un espacio de integración que favorezca la interacción entre los asistentes, promoviendo el fortalecimiento de los vínculos familiares y comunitarios construidos a lo largo del proceso formativo. Asimismo, el compartir de los alimentos se constituye en una estrategia pedagógica que facilita el diálogo, la reflexión conjunta y el intercambio de experiencias en torno a los aprendizajes adquiridos, especialmente en lo relacionado con el cuidado, el autocuidado y las relaciones saludables.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 igual manera, la disposición de estos servicios contribuye a garantizar condiciones de bienestar durante la jornada, incentivando la permanencia, participación activa y el cierre adecuado de las actividades programadas. Esto permite consolidar un ambiente acogedor, respetuoso e incluyente, coherente con los enfoques abordados en salud sexual y reproductiva.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 este sentido, la logística de alimentación no solo responde a una necesidad operativa, sino que se articula como un elemento fundamental para el logro de los objetivos del encuentro, propiciando un cierre significativo, participativo y centrado en el fortalecimiento del tejido familiar y social.</w:t>
      </w:r>
    </w:p>
    <w:p w:rsidR="00000000" w:rsidDel="00000000" w:rsidP="00000000" w:rsidRDefault="00000000" w:rsidRPr="00000000" w14:paraId="0000000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4. La definición de las actividades contempladas en el proyecto se realizó a partir de un proceso articulado de planeación que incluyó la revisión de lineamientos técnicos del sector salud en materia de promoción de la salud sexual y reproductiva, en concordancia con el Plan Territorial de Salud y las políticas públicas distritales vigentes.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Asimismo, se llevaron a cabo espacios de concertación y reuniones con actores institucionales y comunitarios del territorio de Sumapaz, lo que permitió identificar necesidades específicas, brechas en el acceso a información y servicios, así como factores socioculturales que inciden en la vivencia de la sexualidad. 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 igual forma, el diseño de las actividades incorpora enfoques poblacional, diferencial, de género y territorial, garantizando la pertinencia de las intervenciones frente a las características de los grupos priorizados. Este proceso permitió estructurar una propuesta metodológica basada en estrategias educativas, experienciales y participativas, alineadas con los objetivos del proyecto “Tejiendo conciencia de mi sexualidad”.</w:t>
      </w:r>
    </w:p>
    <w:p w:rsidR="00000000" w:rsidDel="00000000" w:rsidP="00000000" w:rsidRDefault="00000000" w:rsidRPr="00000000" w14:paraId="0000000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5. Las actividades propuestas contribuyen al cumplimiento de la meta mediante la implementación de un proceso estructurado que contempla la realización de seis encuentros formativos y un encuentro de cierre, denominado “Tejiendo en familia: aprendemos, cuidamos y compartimos”, dirigidos a población diversa del territorio de Sumapaz.</w:t>
      </w:r>
    </w:p>
    <w:p w:rsidR="00000000" w:rsidDel="00000000" w:rsidP="00000000" w:rsidRDefault="00000000" w:rsidRPr="00000000" w14:paraId="0000000E">
      <w:pPr>
        <w:spacing w:after="240" w:befor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través de estas acciones, se proyecta beneficiar a un total de 100 personas, quienes participarán en espacios educativos, experienciales y participativos orientados al fortalecimiento de conocimientos en educación sexual integral, el desarrollo de habilidades psicosociales y la promoción de prácticas responsables en salud sexual y reproductiva.</w:t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El cumplimiento de la meta se medirá en función de: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 ejecución del 100% de las actividades programadas (6 encuentros + 1 cierre).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 vinculación de los 100 beneficiarios previstos.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 participación efectiva en los espacios desarrollados.</w:t>
      </w:r>
    </w:p>
    <w:p w:rsidR="00000000" w:rsidDel="00000000" w:rsidP="00000000" w:rsidRDefault="00000000" w:rsidRPr="00000000" w14:paraId="00000013">
      <w:pPr>
        <w:spacing w:after="240" w:befor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Adicionalmente, el seguimiento se realizará mediante listas de asistencia, registros de participación, lo que permitirá evidenciar de manera objetiva el nivel de ejecución y el impacto alcanzado, garantizando la trazabilidad del proceso y su coherencia con los objetivos del proyecto.</w:t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6. Para el cumplimiento de la meta propuesta, se requiere la contratación del servicio de avituallamiento, el cual garantiza las condiciones de bienestar, permanencia y participación de los beneficiarios durante el desarrollo del encuentro de cierre. A continuación, se detallan los ítems requeridos:</w:t>
      </w:r>
    </w:p>
    <w:p w:rsidR="00000000" w:rsidDel="00000000" w:rsidP="00000000" w:rsidRDefault="00000000" w:rsidRPr="00000000" w14:paraId="0000001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838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81.6505494505494"/>
        <w:gridCol w:w="815.8153846153846"/>
        <w:gridCol w:w="5293.087912087913"/>
        <w:gridCol w:w="815.8153846153846"/>
        <w:gridCol w:w="815.8153846153846"/>
        <w:gridCol w:w="815.8153846153846"/>
        <w:tblGridChange w:id="0">
          <w:tblGrid>
            <w:gridCol w:w="281.6505494505494"/>
            <w:gridCol w:w="815.8153846153846"/>
            <w:gridCol w:w="5293.087912087913"/>
            <w:gridCol w:w="815.8153846153846"/>
            <w:gridCol w:w="815.8153846153846"/>
            <w:gridCol w:w="815.8153846153846"/>
          </w:tblGrid>
        </w:tblGridChange>
      </w:tblGrid>
      <w:tr>
        <w:trPr>
          <w:cantSplit w:val="0"/>
          <w:trHeight w:val="7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ITEM</w:t>
            </w:r>
          </w:p>
          <w:p w:rsidR="00000000" w:rsidDel="00000000" w:rsidP="00000000" w:rsidRDefault="00000000" w:rsidRPr="00000000" w14:paraId="00000018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9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DESCRIPICIÓN TÉCNICA (por favor describa a detalle lo que necesita)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Valor Unidad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Cantidad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cccccc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D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widowControl w:val="0"/>
              <w:spacing w:after="0" w:line="276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Almuerzo tipo 4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Menú: Hamburguesa artesanal - Papas o platanitos Fritas Paquete- Postre- Bebida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$48.19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1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200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$9,637.00</w:t>
            </w:r>
          </w:p>
        </w:tc>
      </w:tr>
      <w:tr>
        <w:trPr>
          <w:cantSplit w:val="0"/>
          <w:trHeight w:val="2010" w:hRule="atLeast"/>
          <w:tblHeader w:val="0"/>
        </w:trPr>
        <w:tc>
          <w:tcPr>
            <w:tcBorders>
              <w:top w:color="cccccc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3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4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Refrigerio tipo 3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Un (1) Sándwich de 240gr (pan de 40gr (árabe o artesanal) , proteína (carne,pollo,cerdo,pavo,etc) de 130gr, 30 gr de queso (doble crema o mozzarella),40 gr de lechuga (lisa o rizada)) o hamburguesa de 230gr (pan de hamburguesa), proteína animal de 140gr, 30 gr de queso (doble crema o mozzarella), 30 gr de lechuga (lisa o rizada)).</w:t>
            </w:r>
          </w:p>
          <w:p w:rsidR="00000000" w:rsidDel="00000000" w:rsidP="00000000" w:rsidRDefault="00000000" w:rsidRPr="00000000" w14:paraId="00000026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una (1) porción de papas chips de 25gr</w:t>
            </w:r>
          </w:p>
          <w:p w:rsidR="00000000" w:rsidDel="00000000" w:rsidP="00000000" w:rsidRDefault="00000000" w:rsidRPr="00000000" w14:paraId="00000027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Una (1) fruta de mínimo 100 gramos.</w:t>
            </w:r>
          </w:p>
          <w:p w:rsidR="00000000" w:rsidDel="00000000" w:rsidP="00000000" w:rsidRDefault="00000000" w:rsidRPr="00000000" w14:paraId="00000028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Una (1) Bebida refresco o néctar de fruta 200 ml o jugo natural en agua servido en vaso de 12 onzas o Bebida caliente de 12 onzas o gaseosa botella plástica de 250 ml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$35.89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200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$7,177.80</w:t>
            </w:r>
          </w:p>
        </w:tc>
      </w:tr>
    </w:tbl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SXNUnpwg5NPTGdBv71YjliATkg==">CgMxLjA4AHIhMUlxVXV3cFE1RmxyamlxZjZXZ3kzRS1lUDZKbDZ1c2V5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